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5B87" w14:textId="77777777" w:rsidR="00AC4C29" w:rsidRDefault="00AC4C29" w:rsidP="00F42316">
      <w:pPr>
        <w:spacing w:after="0"/>
        <w:jc w:val="right"/>
        <w:rPr>
          <w:rFonts w:ascii="Microsoft Sans Serif" w:hAnsi="Microsoft Sans Serif" w:cs="Microsoft Sans Serif"/>
          <w:lang w:eastAsia="ar-SA"/>
        </w:rPr>
      </w:pPr>
    </w:p>
    <w:p w14:paraId="4E51207E" w14:textId="77777777" w:rsidR="006504F6" w:rsidRPr="00F42316" w:rsidRDefault="006504F6" w:rsidP="00B75A82">
      <w:pPr>
        <w:spacing w:after="160" w:line="254" w:lineRule="auto"/>
        <w:rPr>
          <w:rFonts w:ascii="Trebuchet MS" w:eastAsia="Calibri" w:hAnsi="Trebuchet MS" w:cs="Microsoft Sans Serif"/>
          <w:b/>
          <w:sz w:val="20"/>
          <w:szCs w:val="20"/>
          <w:lang w:val="en-US" w:eastAsia="en-US"/>
        </w:rPr>
      </w:pPr>
      <w:r w:rsidRPr="00F42316">
        <w:rPr>
          <w:rFonts w:ascii="Trebuchet MS" w:eastAsia="Calibri" w:hAnsi="Trebuchet MS" w:cs="Microsoft Sans Serif"/>
          <w:b/>
          <w:sz w:val="20"/>
          <w:szCs w:val="20"/>
          <w:lang w:eastAsia="en-US"/>
        </w:rPr>
        <w:t>Программа</w:t>
      </w:r>
      <w:r w:rsidRPr="00F42316">
        <w:rPr>
          <w:rFonts w:ascii="Trebuchet MS" w:eastAsia="Calibri" w:hAnsi="Trebuchet MS" w:cs="Microsoft Sans Serif"/>
          <w:b/>
          <w:sz w:val="20"/>
          <w:szCs w:val="20"/>
          <w:lang w:val="en-US" w:eastAsia="en-US"/>
        </w:rPr>
        <w:t>:</w:t>
      </w: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1134"/>
        <w:gridCol w:w="1790"/>
        <w:gridCol w:w="10"/>
      </w:tblGrid>
      <w:tr w:rsidR="006504F6" w:rsidRPr="00F42316" w14:paraId="0E765D5E" w14:textId="77777777" w:rsidTr="007A4ACB">
        <w:trPr>
          <w:gridAfter w:val="1"/>
          <w:wAfter w:w="10" w:type="dxa"/>
          <w:tblHeader/>
        </w:trPr>
        <w:tc>
          <w:tcPr>
            <w:tcW w:w="567" w:type="dxa"/>
            <w:vAlign w:val="center"/>
          </w:tcPr>
          <w:p w14:paraId="195871F2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№ п/п</w:t>
            </w:r>
          </w:p>
        </w:tc>
        <w:tc>
          <w:tcPr>
            <w:tcW w:w="5671" w:type="dxa"/>
            <w:vAlign w:val="center"/>
          </w:tcPr>
          <w:p w14:paraId="7118012A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Тематика</w:t>
            </w:r>
          </w:p>
        </w:tc>
        <w:tc>
          <w:tcPr>
            <w:tcW w:w="1134" w:type="dxa"/>
            <w:vAlign w:val="center"/>
          </w:tcPr>
          <w:p w14:paraId="40F1A790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14:paraId="11B60A2B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90" w:type="dxa"/>
            <w:vAlign w:val="center"/>
          </w:tcPr>
          <w:p w14:paraId="0FB0D8B5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Спикер</w:t>
            </w:r>
          </w:p>
        </w:tc>
      </w:tr>
      <w:tr w:rsidR="006504F6" w:rsidRPr="00F42316" w14:paraId="0CD546BE" w14:textId="77777777" w:rsidTr="007A4ACB">
        <w:trPr>
          <w:gridAfter w:val="1"/>
          <w:wAfter w:w="10" w:type="dxa"/>
        </w:trPr>
        <w:tc>
          <w:tcPr>
            <w:tcW w:w="10296" w:type="dxa"/>
            <w:gridSpan w:val="5"/>
            <w:vAlign w:val="center"/>
          </w:tcPr>
          <w:p w14:paraId="6DE888CE" w14:textId="0D869D8F" w:rsidR="006504F6" w:rsidRPr="00F42316" w:rsidRDefault="006504F6" w:rsidP="007A4ACB">
            <w:pPr>
              <w:spacing w:after="0"/>
              <w:jc w:val="left"/>
              <w:rPr>
                <w:rFonts w:ascii="Trebuchet MS" w:hAnsi="Trebuchet MS" w:cs="Microsoft Sans Serif"/>
                <w:sz w:val="20"/>
                <w:szCs w:val="20"/>
                <w:lang w:val="en-US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Первый день </w:t>
            </w:r>
            <w:r w:rsidR="00AA780A" w:rsidRPr="0009329A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29.02.2024</w:t>
            </w:r>
          </w:p>
        </w:tc>
      </w:tr>
      <w:tr w:rsidR="006504F6" w:rsidRPr="00F42316" w14:paraId="33F338D4" w14:textId="77777777" w:rsidTr="007A4ACB">
        <w:trPr>
          <w:gridAfter w:val="1"/>
          <w:wAfter w:w="10" w:type="dxa"/>
          <w:trHeight w:val="3278"/>
        </w:trPr>
        <w:tc>
          <w:tcPr>
            <w:tcW w:w="567" w:type="dxa"/>
          </w:tcPr>
          <w:p w14:paraId="6D079CE5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vAlign w:val="center"/>
          </w:tcPr>
          <w:p w14:paraId="581AEE08" w14:textId="2FC446BA" w:rsidR="006504F6" w:rsidRPr="00F42316" w:rsidRDefault="006504F6" w:rsidP="0009329A">
            <w:pPr>
              <w:pStyle w:val="a6"/>
              <w:spacing w:after="12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1.1. Актуальные вопросы, возникавшие в регионах в 2023 году, и новации 2024 года в сфере организации и осуществления внутреннего финансового контроля и аудита (по изменениям, 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внесенным</w:t>
            </w:r>
            <w:r w:rsidR="00693881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с 2022 г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ода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в </w:t>
            </w:r>
            <w:r w:rsidR="00693881" w:rsidRPr="00F42316">
              <w:rPr>
                <w:rFonts w:ascii="Trebuchet MS" w:hAnsi="Trebuchet MS" w:cs="Microsoft Sans Serif"/>
                <w:sz w:val="20"/>
                <w:szCs w:val="20"/>
              </w:rPr>
              <w:t>Бюджетн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ый</w:t>
            </w:r>
            <w:r w:rsidR="00693881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кодекс РФ (Федеральный закон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аудита»))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1C2A9807" w14:textId="1DE14A0F" w:rsidR="006504F6" w:rsidRPr="00F42316" w:rsidRDefault="006504F6" w:rsidP="0009329A">
            <w:pPr>
              <w:pStyle w:val="a6"/>
              <w:spacing w:after="12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1.2. Сложные вопросы передачи полномочий по осуществлению внутреннего финансового аудита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29170655" w14:textId="2A7EF233" w:rsidR="006504F6" w:rsidRPr="00F42316" w:rsidRDefault="006504F6" w:rsidP="0009329A">
            <w:pPr>
              <w:pStyle w:val="a6"/>
              <w:spacing w:after="12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1.3. 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В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опросы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, возникающие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при применении упрощенной организации внутреннего финансового аудита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735AB0C9" w14:textId="631E467F" w:rsidR="006504F6" w:rsidRPr="00F42316" w:rsidRDefault="006504F6" w:rsidP="0009329A">
            <w:pPr>
              <w:pStyle w:val="a6"/>
              <w:spacing w:after="12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1.4. Типичные ошибки, выявляемые при осуществлении внутреннего финансового контроля и аудита, механизмы выявления нарушений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.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</w:p>
          <w:p w14:paraId="793CFAEA" w14:textId="1B90EE1A" w:rsidR="006504F6" w:rsidRPr="00F42316" w:rsidRDefault="006504F6" w:rsidP="0009329A">
            <w:pPr>
              <w:pStyle w:val="a6"/>
              <w:spacing w:after="12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eastAsia="Arial Unicode MS" w:hAnsi="Trebuchet MS" w:cs="Microsoft Sans Serif"/>
                <w:sz w:val="20"/>
                <w:szCs w:val="20"/>
                <w:lang w:eastAsia="en-US"/>
              </w:rPr>
              <w:t xml:space="preserve">1.5. Ошибки и накопленный опыт по управлению 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бюджетными </w:t>
            </w:r>
            <w:r w:rsidRPr="00F42316">
              <w:rPr>
                <w:rFonts w:ascii="Trebuchet MS" w:eastAsia="Arial Unicode MS" w:hAnsi="Trebuchet MS" w:cs="Microsoft Sans Serif"/>
                <w:sz w:val="20"/>
                <w:szCs w:val="20"/>
                <w:lang w:eastAsia="en-US"/>
              </w:rPr>
              <w:t>рисками в организациях государственного сектора в 2023 году (р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еестр рисков и управление бюджетными рисками как основа внутреннего финансового контроля)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3372D26D" w14:textId="77777777" w:rsidR="006504F6" w:rsidRPr="00F42316" w:rsidRDefault="006504F6" w:rsidP="0009329A">
            <w:pPr>
              <w:spacing w:after="0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29 февраля</w:t>
            </w:r>
          </w:p>
          <w:p w14:paraId="56FF7D55" w14:textId="220B19CA" w:rsidR="006504F6" w:rsidRPr="00F42316" w:rsidRDefault="006504F6" w:rsidP="0009329A">
            <w:pPr>
              <w:spacing w:after="0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2024</w:t>
            </w:r>
            <w:r w:rsidR="00EB5A7B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 xml:space="preserve"> 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года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Merge w:val="restart"/>
            <w:vAlign w:val="center"/>
          </w:tcPr>
          <w:p w14:paraId="227808A3" w14:textId="1EE912A8" w:rsidR="006504F6" w:rsidRPr="00F42316" w:rsidRDefault="006504F6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10:00</w:t>
            </w:r>
            <w:r w:rsidR="00AA780A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 xml:space="preserve"> </w:t>
            </w:r>
            <w:r w:rsidR="00AA780A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1790" w:type="dxa"/>
            <w:vMerge w:val="restart"/>
            <w:vAlign w:val="center"/>
          </w:tcPr>
          <w:p w14:paraId="71F01820" w14:textId="77777777" w:rsidR="006504F6" w:rsidRPr="00F42316" w:rsidRDefault="006504F6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Бычков Станислав Сергеевич,</w:t>
            </w:r>
          </w:p>
          <w:p w14:paraId="22DA6555" w14:textId="6E7D7A50" w:rsidR="006504F6" w:rsidRPr="00F42316" w:rsidRDefault="00EB5A7B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з</w:t>
            </w:r>
            <w:r w:rsidRPr="00F42316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 xml:space="preserve">аместитель </w:t>
            </w:r>
            <w:r w:rsidR="006504F6" w:rsidRPr="00F42316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директора Департамента бюджетной методологии и финансовой отчетности в государственном секторе Минфина России</w:t>
            </w:r>
          </w:p>
          <w:p w14:paraId="2F6E4253" w14:textId="77777777" w:rsidR="006504F6" w:rsidRPr="00F42316" w:rsidRDefault="006504F6" w:rsidP="007A4ACB">
            <w:pPr>
              <w:spacing w:after="0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</w:tr>
      <w:tr w:rsidR="006504F6" w:rsidRPr="00F42316" w14:paraId="1A528EAE" w14:textId="77777777" w:rsidTr="007A4ACB">
        <w:trPr>
          <w:gridAfter w:val="1"/>
          <w:wAfter w:w="10" w:type="dxa"/>
          <w:trHeight w:val="976"/>
        </w:trPr>
        <w:tc>
          <w:tcPr>
            <w:tcW w:w="567" w:type="dxa"/>
          </w:tcPr>
          <w:p w14:paraId="14D7EC38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5671" w:type="dxa"/>
            <w:vAlign w:val="center"/>
          </w:tcPr>
          <w:p w14:paraId="3A8DD398" w14:textId="6DEB97EE" w:rsidR="006504F6" w:rsidRPr="00F42316" w:rsidRDefault="00846A2A" w:rsidP="0009329A">
            <w:pPr>
              <w:pStyle w:val="a6"/>
              <w:tabs>
                <w:tab w:val="left" w:pos="279"/>
                <w:tab w:val="left" w:pos="426"/>
              </w:tabs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2.</w:t>
            </w:r>
            <w:r w:rsidR="00693881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1. 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Обсуждение актуальных вопросов применения федеральных стандартов внутреннего финансового аудита (приказы Минфина России)</w:t>
            </w:r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: </w:t>
            </w:r>
          </w:p>
          <w:p w14:paraId="6DFB5159" w14:textId="5ECA539C" w:rsidR="006504F6" w:rsidRPr="00F42316" w:rsidRDefault="006504F6" w:rsidP="0009329A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426"/>
              </w:tabs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«Определения, принципы и задачи ВФА»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(196н)</w:t>
            </w:r>
            <w:r w:rsidR="00EB5A7B">
              <w:rPr>
                <w:rFonts w:ascii="Trebuchet MS" w:hAnsi="Trebuchet MS" w:cs="Microsoft Sans Serif"/>
                <w:b/>
                <w:sz w:val="20"/>
                <w:szCs w:val="20"/>
              </w:rPr>
              <w:t>.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</w:p>
          <w:p w14:paraId="5D6CA915" w14:textId="12E4DACC" w:rsidR="006504F6" w:rsidRPr="00F42316" w:rsidRDefault="006504F6" w:rsidP="0009329A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426"/>
              </w:tabs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«Основания и порядок организации ВФА, а также случаи и порядок передачи полномочий по осуществлению ВФА»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(237н),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изменения в </w:t>
            </w:r>
            <w:r w:rsidR="00693881" w:rsidRPr="00F42316">
              <w:rPr>
                <w:rFonts w:ascii="Trebuchet MS" w:hAnsi="Trebuchet MS" w:cs="Microsoft Sans Serif"/>
                <w:sz w:val="20"/>
                <w:szCs w:val="20"/>
              </w:rPr>
              <w:t>федеральн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ом</w:t>
            </w:r>
            <w:r w:rsidR="00693881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стандарт</w:t>
            </w:r>
            <w:r w:rsidR="00693881">
              <w:rPr>
                <w:rFonts w:ascii="Trebuchet MS" w:hAnsi="Trebuchet MS" w:cs="Microsoft Sans Serif"/>
                <w:sz w:val="20"/>
                <w:szCs w:val="20"/>
              </w:rPr>
              <w:t>е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ВФА «Основания и порядок организации, случаи и порядок передачи полномочий по осуществлению ВФА» (приказ Минфина России от 23 июля 2020 г. № 150н)</w:t>
            </w:r>
            <w:r w:rsidR="00EB5A7B">
              <w:rPr>
                <w:rFonts w:ascii="Trebuchet MS" w:hAnsi="Trebuchet MS" w:cs="Microsoft Sans Serif"/>
                <w:sz w:val="20"/>
                <w:szCs w:val="20"/>
              </w:rPr>
              <w:t>.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</w:p>
          <w:p w14:paraId="2C9F7E3F" w14:textId="57A07CD1" w:rsidR="006504F6" w:rsidRPr="00F42316" w:rsidRDefault="006504F6" w:rsidP="0009329A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426"/>
              </w:tabs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«Права и обязанности должностных лиц (работников) при осуществлении внутреннего финансового аудита»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(195н)</w:t>
            </w:r>
            <w:r w:rsidR="00EB5A7B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7DBAF4C6" w14:textId="42E1470D" w:rsidR="006504F6" w:rsidRPr="00F42316" w:rsidRDefault="006504F6" w:rsidP="0009329A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426"/>
              </w:tabs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«Реализация результатов внутреннего финансового аудита»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(91н)</w:t>
            </w:r>
            <w:r w:rsidR="00EB5A7B">
              <w:rPr>
                <w:rFonts w:ascii="Trebuchet MS" w:hAnsi="Trebuchet MS" w:cs="Microsoft Sans Serif"/>
                <w:b/>
                <w:sz w:val="20"/>
                <w:szCs w:val="20"/>
              </w:rPr>
              <w:t>.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</w:p>
          <w:p w14:paraId="084D517C" w14:textId="576F917E" w:rsidR="006504F6" w:rsidRPr="00F42316" w:rsidRDefault="006504F6" w:rsidP="0009329A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426"/>
              </w:tabs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«Планирование и проведение внутреннего финансового аудита»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(160н)</w:t>
            </w:r>
            <w:r w:rsidR="00EB5A7B">
              <w:rPr>
                <w:rFonts w:ascii="Trebuchet MS" w:hAnsi="Trebuchet MS" w:cs="Microsoft Sans Serif"/>
                <w:b/>
                <w:sz w:val="20"/>
                <w:szCs w:val="20"/>
              </w:rPr>
              <w:t>.</w:t>
            </w:r>
          </w:p>
          <w:p w14:paraId="193BB7C6" w14:textId="5F805BCA" w:rsidR="006504F6" w:rsidRPr="00F42316" w:rsidRDefault="006504F6" w:rsidP="0009329A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426"/>
              </w:tabs>
              <w:spacing w:after="12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Подходы к проведению аудита в целях подтверждения достоверности бюджетной отчетности, в том числе в условиях передачи полномочий по ведению учета и составлению отчетности</w:t>
            </w:r>
            <w:r w:rsidR="00EB5A7B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2305E379" w14:textId="1ABB3A20" w:rsidR="006504F6" w:rsidRPr="00F42316" w:rsidRDefault="00846A2A" w:rsidP="0009329A">
            <w:pPr>
              <w:pStyle w:val="a6"/>
              <w:spacing w:after="120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2.</w:t>
            </w:r>
            <w:r w:rsidR="00693881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2. 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Обзор федеральных стандартов внутреннего финансового аудита</w:t>
            </w:r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и подготовленные проекты федеральных стандартов внутреннего финансового аудита. </w:t>
            </w:r>
          </w:p>
          <w:p w14:paraId="33F469CE" w14:textId="5A4E50FD" w:rsidR="006504F6" w:rsidRPr="00F42316" w:rsidRDefault="00846A2A" w:rsidP="0009329A">
            <w:pPr>
              <w:pStyle w:val="a6"/>
              <w:tabs>
                <w:tab w:val="left" w:pos="279"/>
                <w:tab w:val="left" w:pos="426"/>
              </w:tabs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2.</w:t>
            </w:r>
            <w:r w:rsidR="00693881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3. 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Обсуждение актуальных вопросов, возникших в 2023</w:t>
            </w:r>
            <w:r w:rsidR="00AA780A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2024 гг</w:t>
            </w:r>
            <w:r w:rsidR="00693881">
              <w:rPr>
                <w:rFonts w:ascii="Trebuchet MS" w:hAnsi="Trebuchet MS" w:cs="Microsoft Sans Serif"/>
                <w:b/>
                <w:sz w:val="20"/>
                <w:szCs w:val="20"/>
              </w:rPr>
              <w:t>.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, при мониторинге качества финансового менеджмента (ст. 160.2-1 БК РФ). </w:t>
            </w:r>
          </w:p>
          <w:p w14:paraId="428BDD4D" w14:textId="6E7DD9E5" w:rsidR="006504F6" w:rsidRPr="00F42316" w:rsidRDefault="006504F6" w:rsidP="0009329A">
            <w:pPr>
              <w:pStyle w:val="a6"/>
              <w:tabs>
                <w:tab w:val="left" w:pos="279"/>
                <w:tab w:val="left" w:pos="426"/>
              </w:tabs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eastAsia="Arial Unicode MS" w:hAnsi="Trebuchet MS" w:cs="Microsoft Sans Serif"/>
                <w:sz w:val="20"/>
                <w:szCs w:val="20"/>
                <w:lang w:eastAsia="en-US"/>
              </w:rPr>
              <w:lastRenderedPageBreak/>
              <w:t xml:space="preserve">Правовые основы организации мониторинга качества финансового менеджмента в Российской Федерации. </w:t>
            </w:r>
            <w:r w:rsidRPr="00F42316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Финансовый менеджмент в организациях государственного сектора</w:t>
            </w:r>
            <w:r w:rsidR="00EB5A7B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:</w:t>
            </w:r>
            <w:r w:rsidR="00EB5A7B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</w:p>
          <w:p w14:paraId="0AB5A82B" w14:textId="0DE75573" w:rsidR="006504F6" w:rsidRPr="00F42316" w:rsidRDefault="006504F6" w:rsidP="0009329A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Понятие финансового менеджмента с точки зрения действующего бюджетного законодательства</w:t>
            </w:r>
            <w:r w:rsidR="00EB5A7B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76014140" w14:textId="7EC5E06F" w:rsidR="006504F6" w:rsidRPr="00F42316" w:rsidRDefault="006504F6" w:rsidP="0009329A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Подходы к формированию системы оценки качества финансового менеджмента на различных уровнях бюджетной системы. Цели оценки качества финансово менеджмента.</w:t>
            </w:r>
          </w:p>
          <w:p w14:paraId="293126F8" w14:textId="0840035B" w:rsidR="006504F6" w:rsidRPr="00F42316" w:rsidRDefault="006504F6" w:rsidP="0009329A">
            <w:pPr>
              <w:pStyle w:val="a6"/>
              <w:numPr>
                <w:ilvl w:val="0"/>
                <w:numId w:val="8"/>
              </w:numPr>
              <w:tabs>
                <w:tab w:val="left" w:pos="279"/>
                <w:tab w:val="left" w:pos="426"/>
              </w:tabs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Субъекты и объекты мониторинга, порядок проведения и использования результатов мониторинга.</w:t>
            </w:r>
          </w:p>
          <w:p w14:paraId="5DB0AF2A" w14:textId="1ACD6572" w:rsidR="006504F6" w:rsidRPr="00F42316" w:rsidRDefault="006504F6" w:rsidP="0009329A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Интерпретация полученных результатов расчета значений показателей и оценок качества финансового менеджмента. </w:t>
            </w:r>
          </w:p>
          <w:p w14:paraId="5E3CCB80" w14:textId="54B98068" w:rsidR="006504F6" w:rsidRPr="00F42316" w:rsidRDefault="006504F6" w:rsidP="0009329A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Взаимосвязь внутреннего финансового контроля и аудита с осуществлением финансового менеджмента. Взаимосвязь с системой управления рисками. </w:t>
            </w:r>
          </w:p>
        </w:tc>
        <w:tc>
          <w:tcPr>
            <w:tcW w:w="1134" w:type="dxa"/>
            <w:vMerge/>
            <w:vAlign w:val="center"/>
          </w:tcPr>
          <w:p w14:paraId="5D57E742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4FAF30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5C00809B" w14:textId="77777777" w:rsidR="006504F6" w:rsidRPr="00F42316" w:rsidRDefault="006504F6" w:rsidP="007A4ACB">
            <w:pPr>
              <w:pStyle w:val="a6"/>
              <w:tabs>
                <w:tab w:val="left" w:pos="426"/>
              </w:tabs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</w:tr>
      <w:tr w:rsidR="006504F6" w:rsidRPr="00F42316" w14:paraId="20D5540B" w14:textId="77777777" w:rsidTr="007A4ACB">
        <w:trPr>
          <w:gridAfter w:val="1"/>
          <w:wAfter w:w="10" w:type="dxa"/>
          <w:trHeight w:val="2002"/>
        </w:trPr>
        <w:tc>
          <w:tcPr>
            <w:tcW w:w="567" w:type="dxa"/>
          </w:tcPr>
          <w:p w14:paraId="6C3870EA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5671" w:type="dxa"/>
            <w:vAlign w:val="center"/>
          </w:tcPr>
          <w:p w14:paraId="4C50BAB1" w14:textId="35462DC8" w:rsidR="006504F6" w:rsidRPr="00F42316" w:rsidRDefault="00846A2A" w:rsidP="007A4ACB">
            <w:pPr>
              <w:pStyle w:val="a6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3.</w:t>
            </w:r>
            <w:r w:rsidR="00EB5A7B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1. 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Подготовка к ревизиям и проверкам:</w:t>
            </w:r>
          </w:p>
          <w:p w14:paraId="5016F18A" w14:textId="2AE1FEB2" w:rsidR="006504F6" w:rsidRPr="00F42316" w:rsidRDefault="00EB5A7B" w:rsidP="0009329A">
            <w:pPr>
              <w:pStyle w:val="a6"/>
              <w:numPr>
                <w:ilvl w:val="0"/>
                <w:numId w:val="9"/>
              </w:numPr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К</w:t>
            </w:r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то вправе 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провер</w:t>
            </w:r>
            <w:r>
              <w:rPr>
                <w:rFonts w:ascii="Trebuchet MS" w:hAnsi="Trebuchet MS" w:cs="Microsoft Sans Serif"/>
                <w:sz w:val="20"/>
                <w:szCs w:val="20"/>
              </w:rPr>
              <w:t>я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ть</w:t>
            </w:r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>, что проверяют, где прописан порядок проведения проверки</w:t>
            </w:r>
            <w:r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1B3D21CA" w14:textId="5A4DF9F1" w:rsidR="006504F6" w:rsidRPr="00F42316" w:rsidRDefault="00EB5A7B" w:rsidP="0009329A">
            <w:pPr>
              <w:pStyle w:val="a6"/>
              <w:numPr>
                <w:ilvl w:val="0"/>
                <w:numId w:val="9"/>
              </w:numPr>
              <w:spacing w:after="12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Н</w:t>
            </w:r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>арушения при проведении проверок</w:t>
            </w:r>
            <w:r>
              <w:rPr>
                <w:rFonts w:ascii="Trebuchet MS" w:hAnsi="Trebuchet MS" w:cs="Microsoft Sans Serif"/>
                <w:sz w:val="20"/>
                <w:szCs w:val="20"/>
              </w:rPr>
              <w:t>,</w:t>
            </w:r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штрафные санкции, меры ответственности и практика применения мер административной ответственности (КоАП).</w:t>
            </w:r>
          </w:p>
          <w:p w14:paraId="1345F004" w14:textId="7C7A7CF2" w:rsidR="006504F6" w:rsidRPr="00F42316" w:rsidRDefault="00846A2A" w:rsidP="007A4ACB">
            <w:pPr>
              <w:pStyle w:val="a6"/>
              <w:tabs>
                <w:tab w:val="left" w:pos="426"/>
              </w:tabs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3.</w:t>
            </w:r>
            <w:r w:rsidR="00EB5A7B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2. 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Опыт ведомственного контроля в ГРБС в 2023 году. </w:t>
            </w:r>
          </w:p>
          <w:p w14:paraId="7D1594AD" w14:textId="02184D6C" w:rsidR="006504F6" w:rsidRPr="00F42316" w:rsidRDefault="006504F6" w:rsidP="0009329A">
            <w:pPr>
              <w:pStyle w:val="a6"/>
              <w:tabs>
                <w:tab w:val="left" w:pos="426"/>
              </w:tabs>
              <w:spacing w:after="12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Распределение </w:t>
            </w:r>
            <w:r w:rsidR="00EB5A7B" w:rsidRPr="00F42316">
              <w:rPr>
                <w:rFonts w:ascii="Trebuchet MS" w:hAnsi="Trebuchet MS" w:cs="Microsoft Sans Serif"/>
                <w:sz w:val="20"/>
                <w:szCs w:val="20"/>
              </w:rPr>
              <w:t>компетенци</w:t>
            </w:r>
            <w:r w:rsidR="00EB5A7B">
              <w:rPr>
                <w:rFonts w:ascii="Trebuchet MS" w:hAnsi="Trebuchet MS" w:cs="Microsoft Sans Serif"/>
                <w:sz w:val="20"/>
                <w:szCs w:val="20"/>
              </w:rPr>
              <w:t>й</w:t>
            </w:r>
            <w:r w:rsidR="00EB5A7B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по осуществлению разных видов финансового контроля, исключение дублирования и обеспечение эффективного взаимодействия различных контрольных органов.</w:t>
            </w:r>
          </w:p>
          <w:p w14:paraId="3FF5BF23" w14:textId="3030B9A8" w:rsidR="006504F6" w:rsidRPr="00F42316" w:rsidRDefault="00846A2A" w:rsidP="007A4ACB">
            <w:pPr>
              <w:pStyle w:val="a6"/>
              <w:tabs>
                <w:tab w:val="left" w:pos="426"/>
              </w:tabs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3.</w:t>
            </w:r>
            <w:r w:rsidR="00EB5A7B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3. </w:t>
            </w:r>
            <w:r w:rsidR="004E0C1D">
              <w:rPr>
                <w:rFonts w:ascii="Trebuchet MS" w:hAnsi="Trebuchet MS" w:cs="Microsoft Sans Serif"/>
                <w:b/>
                <w:sz w:val="20"/>
                <w:szCs w:val="20"/>
              </w:rPr>
              <w:t>Обновления</w:t>
            </w:r>
            <w:r w:rsidR="006504F6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в системе внутреннего государственного (муниципального) финансового контроля</w:t>
            </w:r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>: расширение сферы внутреннего государственного (муницип</w:t>
            </w:r>
            <w:bookmarkStart w:id="0" w:name="_GoBack"/>
            <w:bookmarkEnd w:id="0"/>
            <w:r w:rsidR="006504F6" w:rsidRPr="00F42316">
              <w:rPr>
                <w:rFonts w:ascii="Trebuchet MS" w:hAnsi="Trebuchet MS" w:cs="Microsoft Sans Serif"/>
                <w:sz w:val="20"/>
                <w:szCs w:val="20"/>
              </w:rPr>
              <w:t>ального) финансового контроля.</w:t>
            </w:r>
          </w:p>
        </w:tc>
        <w:tc>
          <w:tcPr>
            <w:tcW w:w="1134" w:type="dxa"/>
            <w:vAlign w:val="center"/>
          </w:tcPr>
          <w:p w14:paraId="51B27928" w14:textId="77777777" w:rsidR="006504F6" w:rsidRPr="00F42316" w:rsidRDefault="006504F6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29 февраля</w:t>
            </w:r>
          </w:p>
          <w:p w14:paraId="46DECC65" w14:textId="77777777" w:rsidR="006504F6" w:rsidRPr="00F42316" w:rsidRDefault="006504F6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2024 года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Align w:val="center"/>
          </w:tcPr>
          <w:p w14:paraId="6C5428DD" w14:textId="488F963D" w:rsidR="006504F6" w:rsidRPr="00F42316" w:rsidRDefault="006504F6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11:45</w:t>
            </w:r>
            <w:r w:rsidR="00AA780A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="00AA780A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AA780A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13:15</w:t>
            </w:r>
          </w:p>
        </w:tc>
        <w:tc>
          <w:tcPr>
            <w:tcW w:w="1790" w:type="dxa"/>
            <w:vAlign w:val="center"/>
          </w:tcPr>
          <w:p w14:paraId="73B08EE2" w14:textId="77777777" w:rsidR="006504F6" w:rsidRPr="00F42316" w:rsidRDefault="006504F6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Бычков Станислав Сергеевич,</w:t>
            </w:r>
          </w:p>
          <w:p w14:paraId="576663D2" w14:textId="478375DB" w:rsidR="006504F6" w:rsidRPr="00F42316" w:rsidRDefault="00EB5A7B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з</w:t>
            </w:r>
            <w:r w:rsidRPr="00F42316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 xml:space="preserve">аместитель </w:t>
            </w:r>
            <w:r w:rsidR="006504F6" w:rsidRPr="00F42316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директора Департамента бюджетной методологии и финансовой отчетности в государственном секторе Минфина России</w:t>
            </w:r>
          </w:p>
          <w:p w14:paraId="0E10428A" w14:textId="77777777" w:rsidR="006504F6" w:rsidRPr="00F42316" w:rsidRDefault="006504F6" w:rsidP="007A4ACB">
            <w:pPr>
              <w:pStyle w:val="a6"/>
              <w:tabs>
                <w:tab w:val="left" w:pos="426"/>
              </w:tabs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6504F6" w:rsidRPr="00F42316" w14:paraId="13F3EAE2" w14:textId="77777777" w:rsidTr="007A4ACB">
        <w:trPr>
          <w:gridAfter w:val="1"/>
          <w:wAfter w:w="10" w:type="dxa"/>
          <w:trHeight w:val="522"/>
        </w:trPr>
        <w:tc>
          <w:tcPr>
            <w:tcW w:w="567" w:type="dxa"/>
            <w:vAlign w:val="center"/>
          </w:tcPr>
          <w:p w14:paraId="3305EE68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597DF68" w14:textId="77777777" w:rsidR="006504F6" w:rsidRPr="00F42316" w:rsidRDefault="006504F6" w:rsidP="007A4ACB">
            <w:pPr>
              <w:pStyle w:val="a6"/>
              <w:tabs>
                <w:tab w:val="left" w:pos="279"/>
                <w:tab w:val="left" w:pos="426"/>
              </w:tabs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  <w:vAlign w:val="center"/>
          </w:tcPr>
          <w:p w14:paraId="2E62412B" w14:textId="77777777" w:rsidR="006504F6" w:rsidRPr="00F42316" w:rsidRDefault="006504F6" w:rsidP="007A4ACB">
            <w:pPr>
              <w:spacing w:after="0"/>
              <w:jc w:val="center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6AE4CB" w14:textId="194D2847" w:rsidR="006504F6" w:rsidRPr="00F42316" w:rsidRDefault="006504F6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13:15</w:t>
            </w:r>
            <w:r w:rsidR="00AA780A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="00AA780A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14:00</w:t>
            </w:r>
          </w:p>
        </w:tc>
        <w:tc>
          <w:tcPr>
            <w:tcW w:w="1790" w:type="dxa"/>
            <w:vAlign w:val="center"/>
          </w:tcPr>
          <w:p w14:paraId="41D7EEE0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6504F6" w:rsidRPr="00F42316" w14:paraId="7C665BAC" w14:textId="77777777" w:rsidTr="007A4ACB">
        <w:tc>
          <w:tcPr>
            <w:tcW w:w="567" w:type="dxa"/>
          </w:tcPr>
          <w:p w14:paraId="0F869BF9" w14:textId="77777777" w:rsidR="006504F6" w:rsidRPr="00F42316" w:rsidRDefault="006504F6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5671" w:type="dxa"/>
            <w:vAlign w:val="center"/>
          </w:tcPr>
          <w:p w14:paraId="3A1A57F4" w14:textId="400EFDD7" w:rsidR="006504F6" w:rsidRPr="00F42316" w:rsidRDefault="006504F6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  <w:lang w:eastAsia="ar-SA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  <w:lang w:eastAsia="ar-SA"/>
              </w:rPr>
              <w:t>Выявление административных правонарушений в финансово-бюджетной сфере, в том числе связанных с нецелевым использованием и хищением бюджетных средств, при проверке органов государственного финансового контроля</w:t>
            </w:r>
            <w:r w:rsidR="00846A2A">
              <w:rPr>
                <w:rFonts w:ascii="Trebuchet MS" w:hAnsi="Trebuchet MS" w:cs="Microsoft Sans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14:paraId="1FAD03D5" w14:textId="77777777" w:rsidR="006504F6" w:rsidRPr="00F42316" w:rsidRDefault="006504F6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29 февраля</w:t>
            </w:r>
          </w:p>
          <w:p w14:paraId="4B78D433" w14:textId="77777777" w:rsidR="006504F6" w:rsidRPr="00F42316" w:rsidRDefault="006504F6" w:rsidP="0009329A">
            <w:pPr>
              <w:suppressAutoHyphens/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2024 года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Align w:val="center"/>
          </w:tcPr>
          <w:p w14:paraId="75718FDA" w14:textId="1A2CF6FA" w:rsidR="006504F6" w:rsidRPr="00F42316" w:rsidRDefault="006504F6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14:00</w:t>
            </w:r>
            <w:r w:rsidR="00AA780A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="00AA780A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AA780A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15:30</w:t>
            </w:r>
          </w:p>
        </w:tc>
        <w:tc>
          <w:tcPr>
            <w:tcW w:w="1800" w:type="dxa"/>
            <w:gridSpan w:val="2"/>
            <w:vAlign w:val="center"/>
          </w:tcPr>
          <w:p w14:paraId="20A88A8B" w14:textId="4A0B8E71" w:rsidR="006504F6" w:rsidRPr="00F42316" w:rsidRDefault="006504F6" w:rsidP="0009329A">
            <w:pPr>
              <w:pStyle w:val="a6"/>
              <w:tabs>
                <w:tab w:val="left" w:pos="426"/>
              </w:tabs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 xml:space="preserve">Зайко Ирина </w:t>
            </w:r>
            <w:proofErr w:type="spellStart"/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Евграфовна</w:t>
            </w:r>
            <w:proofErr w:type="spellEnd"/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,</w:t>
            </w:r>
          </w:p>
          <w:p w14:paraId="7CD7C325" w14:textId="386452AD" w:rsidR="006504F6" w:rsidRPr="00F42316" w:rsidRDefault="00EB5A7B" w:rsidP="0009329A">
            <w:pPr>
              <w:pStyle w:val="a6"/>
              <w:tabs>
                <w:tab w:val="left" w:pos="426"/>
              </w:tabs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п</w:t>
            </w:r>
            <w:r w:rsidRPr="00F42316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 xml:space="preserve">ервый </w:t>
            </w:r>
            <w:r w:rsidR="006504F6" w:rsidRPr="00F42316">
              <w:rPr>
                <w:rFonts w:ascii="Trebuchet MS" w:eastAsia="Calibri" w:hAnsi="Trebuchet MS" w:cs="Microsoft Sans Serif"/>
                <w:sz w:val="20"/>
                <w:szCs w:val="20"/>
                <w:lang w:eastAsia="en-US"/>
              </w:rPr>
              <w:t>заместитель начальника Главного контрольного управления города Москвы</w:t>
            </w:r>
          </w:p>
        </w:tc>
      </w:tr>
    </w:tbl>
    <w:p w14:paraId="7DD7D1C9" w14:textId="77777777" w:rsidR="006504F6" w:rsidRPr="00F42316" w:rsidRDefault="006504F6" w:rsidP="00B75A82">
      <w:pPr>
        <w:spacing w:after="160" w:line="254" w:lineRule="auto"/>
        <w:rPr>
          <w:rFonts w:ascii="Trebuchet MS" w:eastAsia="Calibri" w:hAnsi="Trebuchet MS" w:cs="Microsoft Sans Serif"/>
          <w:sz w:val="20"/>
          <w:szCs w:val="20"/>
          <w:lang w:eastAsia="en-US"/>
        </w:rPr>
      </w:pPr>
    </w:p>
    <w:p w14:paraId="5B981968" w14:textId="77777777" w:rsidR="006504F6" w:rsidRPr="00F42316" w:rsidRDefault="006504F6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p w14:paraId="7513A1B1" w14:textId="7A6B3F21" w:rsidR="006504F6" w:rsidRPr="00F42316" w:rsidRDefault="006504F6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p w14:paraId="7F61C5FA" w14:textId="64F504B9" w:rsidR="006021D5" w:rsidRPr="00F42316" w:rsidRDefault="006021D5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p w14:paraId="26C3259E" w14:textId="77777777" w:rsidR="006021D5" w:rsidRPr="00F42316" w:rsidRDefault="006021D5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p w14:paraId="314D3807" w14:textId="77777777" w:rsidR="006021D5" w:rsidRPr="00F42316" w:rsidRDefault="006021D5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p w14:paraId="0D2EE742" w14:textId="77777777" w:rsidR="006504F6" w:rsidRPr="00F42316" w:rsidRDefault="006504F6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p w14:paraId="5B6A8E71" w14:textId="77777777" w:rsidR="006504F6" w:rsidRPr="00F42316" w:rsidRDefault="006504F6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p w14:paraId="21E7591F" w14:textId="77777777" w:rsidR="006504F6" w:rsidRPr="00F42316" w:rsidRDefault="006504F6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389"/>
        <w:gridCol w:w="1134"/>
        <w:gridCol w:w="1800"/>
      </w:tblGrid>
      <w:tr w:rsidR="006021D5" w:rsidRPr="00F42316" w14:paraId="608BF369" w14:textId="77777777" w:rsidTr="007A4ACB">
        <w:tc>
          <w:tcPr>
            <w:tcW w:w="567" w:type="dxa"/>
            <w:vAlign w:val="center"/>
          </w:tcPr>
          <w:p w14:paraId="5973869D" w14:textId="77777777" w:rsidR="006021D5" w:rsidRPr="00F42316" w:rsidRDefault="006021D5" w:rsidP="007A4ACB">
            <w:pPr>
              <w:spacing w:after="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9739" w:type="dxa"/>
            <w:gridSpan w:val="4"/>
            <w:vAlign w:val="center"/>
          </w:tcPr>
          <w:p w14:paraId="400024AE" w14:textId="3FF7F5B6" w:rsidR="006021D5" w:rsidRPr="00F42316" w:rsidRDefault="006021D5" w:rsidP="007A4ACB">
            <w:pPr>
              <w:spacing w:after="0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Второй день</w:t>
            </w:r>
            <w:r w:rsidR="00846A2A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="00156800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01.03.2024</w:t>
            </w:r>
          </w:p>
        </w:tc>
      </w:tr>
      <w:tr w:rsidR="006021D5" w:rsidRPr="00F42316" w14:paraId="10909371" w14:textId="77777777" w:rsidTr="000278FE">
        <w:tc>
          <w:tcPr>
            <w:tcW w:w="567" w:type="dxa"/>
          </w:tcPr>
          <w:p w14:paraId="7405F8EE" w14:textId="77777777" w:rsidR="006021D5" w:rsidRPr="00F42316" w:rsidRDefault="006021D5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5416" w:type="dxa"/>
            <w:vAlign w:val="center"/>
          </w:tcPr>
          <w:p w14:paraId="242BB0FB" w14:textId="6B230789" w:rsidR="006021D5" w:rsidRPr="00F42316" w:rsidRDefault="006021D5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sz w:val="20"/>
                <w:szCs w:val="20"/>
              </w:rPr>
              <w:t>Правовое регулирование внутреннего государственного (муниципального) финансового контроля в 2024 году.</w:t>
            </w:r>
          </w:p>
          <w:p w14:paraId="3B316407" w14:textId="2596CE1E" w:rsidR="006021D5" w:rsidRPr="00F42316" w:rsidRDefault="00EA67E0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5.1.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Актуальные направления развития сферы государственного финансового контроля. Использование и внедрение технологий искусственного интеллекта в цифровом контроле. Электронный смарт-контроль: стандартизация и унификация процедур управления финансами, оптимизация бизнес-процессов, создание единого информационного поля, расширение цифрового взаимодействия. Методология электронного СМАРТ-контроля за расходованием государственных финансов. </w:t>
            </w:r>
          </w:p>
          <w:p w14:paraId="70D72806" w14:textId="6718079B" w:rsidR="006021D5" w:rsidRPr="00F4231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5.2.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Система рейтингов объектов контроля в финансово-бюджетной сфере, осуществляемая в подсистеме информационно-аналитического обеспечения (ПИАО) в государственной интегрированной информационной системе управления общественными финансами «Электронный бюджет».</w:t>
            </w:r>
          </w:p>
          <w:p w14:paraId="092752F6" w14:textId="082D310D" w:rsidR="006021D5" w:rsidRPr="00F4231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5.3.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Риск-ориентированный подход при осуществлении внутреннего государственного (муниципального) финансового контроля.</w:t>
            </w:r>
          </w:p>
          <w:p w14:paraId="44A666AE" w14:textId="76517762" w:rsidR="006021D5" w:rsidRPr="00F4231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5.4.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Формы, виды и основные методы осуществления внутреннего государственного финансового контроля. </w:t>
            </w:r>
          </w:p>
          <w:p w14:paraId="3EBE0DB5" w14:textId="37AED49F" w:rsidR="006021D5" w:rsidRPr="00F4231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5.5.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Классификатор нарушений (рисков), выявляемых Федеральным казначейством в ходе осуществления контроля в финансово-бюджетной сфере.</w:t>
            </w:r>
          </w:p>
          <w:p w14:paraId="1C20B332" w14:textId="02902170" w:rsidR="006021D5" w:rsidRPr="00F4231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5.6.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Существенные изменения, внесенные Федеральным законом от 26.07.2019 № 199-ФЗ в Бюджетный кодекс Российской Федерации в части совершенствования государственного (муниципального) финансового контроля. Поправки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,</w:t>
            </w:r>
            <w:r w:rsidR="00EA67E0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="006B2276" w:rsidRPr="00F42316">
              <w:rPr>
                <w:rFonts w:ascii="Trebuchet MS" w:hAnsi="Trebuchet MS" w:cs="Microsoft Sans Serif"/>
                <w:sz w:val="20"/>
                <w:szCs w:val="20"/>
              </w:rPr>
              <w:t>направлен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ные</w:t>
            </w:r>
            <w:r w:rsidR="006B2276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на расширение сферы государственного (муниципального) финансового контроля, совершенствование порядка реализации результатов государственного (муниципального) финансового контроля, формирование федеральной системы стандартов внутреннего государственного (муниципального) финансового контроля:</w:t>
            </w:r>
          </w:p>
          <w:p w14:paraId="2D8741DC" w14:textId="6E5F781D" w:rsidR="006021D5" w:rsidRPr="0009329A" w:rsidRDefault="006021D5" w:rsidP="0009329A">
            <w:pPr>
              <w:pStyle w:val="a5"/>
              <w:numPr>
                <w:ilvl w:val="0"/>
                <w:numId w:val="12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«Принципы контрольной деятельности органов внутреннего государственного (муниципального) финансового контроля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>»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38F64D58" w14:textId="5F8FD3BE" w:rsidR="006021D5" w:rsidRPr="0009329A" w:rsidRDefault="006021D5" w:rsidP="0009329A">
            <w:pPr>
              <w:pStyle w:val="a5"/>
              <w:numPr>
                <w:ilvl w:val="0"/>
                <w:numId w:val="12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«Права и обязанности должностных лиц органов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>»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5C01FA31" w14:textId="2BBAFD76" w:rsidR="006021D5" w:rsidRPr="0009329A" w:rsidRDefault="006021D5" w:rsidP="0009329A">
            <w:pPr>
              <w:pStyle w:val="a5"/>
              <w:numPr>
                <w:ilvl w:val="0"/>
                <w:numId w:val="12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«Планирование проверок, ревизий и обследований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>»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52E7FFBE" w14:textId="3F9A5EC0" w:rsidR="006021D5" w:rsidRPr="0009329A" w:rsidRDefault="006021D5" w:rsidP="0009329A">
            <w:pPr>
              <w:pStyle w:val="a5"/>
              <w:numPr>
                <w:ilvl w:val="0"/>
                <w:numId w:val="12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«Проведение проверок, ревизий и обследований и оформление их результатов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>»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294B02FA" w14:textId="2031BF26" w:rsidR="006021D5" w:rsidRPr="0009329A" w:rsidRDefault="006021D5" w:rsidP="0009329A">
            <w:pPr>
              <w:pStyle w:val="a5"/>
              <w:numPr>
                <w:ilvl w:val="0"/>
                <w:numId w:val="12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«Реализация результатов проверок, ревизий и обследований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>»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3DBDFA53" w14:textId="2F7ECEA7" w:rsidR="006021D5" w:rsidRPr="0009329A" w:rsidRDefault="006021D5" w:rsidP="0009329A">
            <w:pPr>
              <w:pStyle w:val="a5"/>
              <w:numPr>
                <w:ilvl w:val="0"/>
                <w:numId w:val="12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lastRenderedPageBreak/>
      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>»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.</w:t>
            </w:r>
          </w:p>
          <w:p w14:paraId="3C392343" w14:textId="77777777" w:rsidR="006021D5" w:rsidRPr="0009329A" w:rsidRDefault="006021D5" w:rsidP="0009329A">
            <w:pPr>
              <w:pStyle w:val="a5"/>
              <w:numPr>
                <w:ilvl w:val="0"/>
                <w:numId w:val="12"/>
              </w:numPr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«Правила составления отчётности о результатах контрольной деятельности».</w:t>
            </w:r>
          </w:p>
        </w:tc>
        <w:tc>
          <w:tcPr>
            <w:tcW w:w="1389" w:type="dxa"/>
            <w:vAlign w:val="center"/>
          </w:tcPr>
          <w:p w14:paraId="770A8466" w14:textId="77777777" w:rsidR="006021D5" w:rsidRPr="00F42316" w:rsidRDefault="006021D5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lastRenderedPageBreak/>
              <w:t>01 марта</w:t>
            </w:r>
          </w:p>
          <w:p w14:paraId="69862CB2" w14:textId="77777777" w:rsidR="006021D5" w:rsidRPr="00F42316" w:rsidRDefault="006021D5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2024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val="en-US" w:eastAsia="en-US"/>
              </w:rPr>
              <w:t xml:space="preserve"> 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года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Align w:val="center"/>
          </w:tcPr>
          <w:p w14:paraId="5B6D9B61" w14:textId="2ECA98D6" w:rsidR="006021D5" w:rsidRPr="00F42316" w:rsidRDefault="006021D5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10:00</w:t>
            </w:r>
            <w:r w:rsidR="00AA780A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="00AA780A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AA780A"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11:30</w:t>
            </w:r>
          </w:p>
        </w:tc>
        <w:tc>
          <w:tcPr>
            <w:tcW w:w="1800" w:type="dxa"/>
            <w:vAlign w:val="center"/>
          </w:tcPr>
          <w:p w14:paraId="16EEB59A" w14:textId="77777777" w:rsidR="006021D5" w:rsidRPr="00F42316" w:rsidRDefault="006021D5" w:rsidP="0009329A">
            <w:pPr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Андреев Сергей Андреевич,</w:t>
            </w:r>
          </w:p>
          <w:p w14:paraId="5EB994DC" w14:textId="5BCE063D" w:rsidR="006021D5" w:rsidRPr="00F42316" w:rsidRDefault="00846A2A" w:rsidP="0009329A">
            <w:pPr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н</w:t>
            </w:r>
            <w:r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ачальник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Отдела координации в финансово-бюджетной сфере ФКУ «</w:t>
            </w:r>
            <w:proofErr w:type="spellStart"/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Ространсмодернизация</w:t>
            </w:r>
            <w:proofErr w:type="spellEnd"/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»</w:t>
            </w:r>
            <w:r w:rsidR="006021D5" w:rsidRPr="00F42316" w:rsidDel="005468A3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при Минтрансе России, советник государственной гражданской службы Российской Федерации 1 класса </w:t>
            </w:r>
          </w:p>
        </w:tc>
      </w:tr>
      <w:tr w:rsidR="006021D5" w:rsidRPr="00F42316" w14:paraId="599DB2C9" w14:textId="77777777" w:rsidTr="000278FE">
        <w:trPr>
          <w:trHeight w:val="70"/>
        </w:trPr>
        <w:tc>
          <w:tcPr>
            <w:tcW w:w="567" w:type="dxa"/>
            <w:vAlign w:val="center"/>
          </w:tcPr>
          <w:p w14:paraId="15750F86" w14:textId="77777777" w:rsidR="006021D5" w:rsidRPr="00F42316" w:rsidRDefault="006021D5" w:rsidP="007A4ACB">
            <w:pPr>
              <w:spacing w:after="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46E1475E" w14:textId="31214F87" w:rsidR="006021D5" w:rsidRPr="00F42316" w:rsidRDefault="006021D5" w:rsidP="007A4ACB">
            <w:pPr>
              <w:pStyle w:val="a5"/>
              <w:spacing w:after="0" w:line="240" w:lineRule="auto"/>
              <w:ind w:left="0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Перерыв</w:t>
            </w:r>
          </w:p>
        </w:tc>
        <w:tc>
          <w:tcPr>
            <w:tcW w:w="1389" w:type="dxa"/>
            <w:vAlign w:val="center"/>
          </w:tcPr>
          <w:p w14:paraId="4B7BCA1F" w14:textId="77777777" w:rsidR="006021D5" w:rsidRPr="00F42316" w:rsidRDefault="006021D5" w:rsidP="007A4ACB">
            <w:pPr>
              <w:spacing w:after="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CD9BF" w14:textId="77777777" w:rsidR="007A137A" w:rsidRPr="00F42316" w:rsidRDefault="007A137A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  <w:p w14:paraId="6705F375" w14:textId="09D24BD9" w:rsidR="006021D5" w:rsidRPr="00F42316" w:rsidRDefault="006021D5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11:30</w:t>
            </w:r>
            <w:r w:rsidR="00AA780A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</w:t>
            </w:r>
            <w:r w:rsidR="00AA780A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</w:p>
          <w:p w14:paraId="6A59B46E" w14:textId="77777777" w:rsidR="006021D5" w:rsidRPr="00F42316" w:rsidRDefault="006021D5" w:rsidP="0009329A">
            <w:pPr>
              <w:spacing w:after="0"/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  <w:lang w:val="en-US"/>
              </w:rPr>
              <w:t>12</w:t>
            </w: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center"/>
          </w:tcPr>
          <w:p w14:paraId="0E6BD381" w14:textId="77777777" w:rsidR="006021D5" w:rsidRPr="00F42316" w:rsidRDefault="006021D5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</w:tr>
      <w:tr w:rsidR="006021D5" w:rsidRPr="00F42316" w14:paraId="37570080" w14:textId="77777777" w:rsidTr="000278FE">
        <w:tc>
          <w:tcPr>
            <w:tcW w:w="567" w:type="dxa"/>
          </w:tcPr>
          <w:p w14:paraId="11E0A855" w14:textId="77777777" w:rsidR="006021D5" w:rsidRPr="00F42316" w:rsidRDefault="006021D5" w:rsidP="007A4ACB">
            <w:pPr>
              <w:spacing w:after="0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5416" w:type="dxa"/>
            <w:vAlign w:val="center"/>
          </w:tcPr>
          <w:p w14:paraId="72A67A26" w14:textId="63B476B5" w:rsidR="006021D5" w:rsidRPr="00F42316" w:rsidRDefault="0020454D" w:rsidP="0009329A">
            <w:pPr>
              <w:spacing w:after="0"/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6.1.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Обзор недостатков и нарушений, выявленных Федеральным казначейством при проведении контрольных мероприятий в финансово-бюджетной сфере в части нецелевого, неправомерного и неэффективного использования бюджетных средств </w:t>
            </w:r>
            <w:r w:rsidR="006B2276" w:rsidRPr="00F42316">
              <w:rPr>
                <w:rFonts w:ascii="Trebuchet MS" w:hAnsi="Trebuchet MS" w:cs="Microsoft Sans Serif"/>
                <w:sz w:val="20"/>
                <w:szCs w:val="20"/>
              </w:rPr>
              <w:t>выразивше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го</w:t>
            </w:r>
            <w:r w:rsidR="006B2276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ся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в:</w:t>
            </w:r>
          </w:p>
          <w:p w14:paraId="77A909A0" w14:textId="1D3AE468" w:rsidR="006021D5" w:rsidRPr="0009329A" w:rsidRDefault="006021D5" w:rsidP="0009329A">
            <w:pPr>
              <w:pStyle w:val="a5"/>
              <w:numPr>
                <w:ilvl w:val="0"/>
                <w:numId w:val="11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осуществлении 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>оплат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ы</w:t>
            </w:r>
            <w:r w:rsidR="006B2276"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подрядным организациям за счет средств субсидий при отсутствии подтверждающих документов;</w:t>
            </w:r>
          </w:p>
          <w:p w14:paraId="2AE328DA" w14:textId="77777777" w:rsidR="006021D5" w:rsidRPr="0009329A" w:rsidRDefault="006021D5" w:rsidP="0009329A">
            <w:pPr>
              <w:pStyle w:val="a5"/>
              <w:numPr>
                <w:ilvl w:val="0"/>
                <w:numId w:val="11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недостижении установленных соглашениями значений показателей результативности использования субсидий;</w:t>
            </w:r>
          </w:p>
          <w:p w14:paraId="67A2F20F" w14:textId="77777777" w:rsidR="006021D5" w:rsidRPr="0009329A" w:rsidRDefault="006021D5" w:rsidP="0009329A">
            <w:pPr>
              <w:pStyle w:val="a5"/>
              <w:numPr>
                <w:ilvl w:val="0"/>
                <w:numId w:val="11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заключении государственных контрактов в отсутствие доведенных на эти цели лимитов бюджетных обязательств;</w:t>
            </w:r>
          </w:p>
          <w:p w14:paraId="712D127F" w14:textId="77777777" w:rsidR="006021D5" w:rsidRPr="0009329A" w:rsidRDefault="006021D5" w:rsidP="0009329A">
            <w:pPr>
              <w:pStyle w:val="a5"/>
              <w:numPr>
                <w:ilvl w:val="0"/>
                <w:numId w:val="11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неосновательном обогащении.</w:t>
            </w:r>
          </w:p>
          <w:p w14:paraId="692B854D" w14:textId="53F4F40F" w:rsidR="006021D5" w:rsidRPr="00F42316" w:rsidRDefault="0020454D" w:rsidP="0009329A">
            <w:pPr>
              <w:spacing w:before="120" w:after="0"/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6.2.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Практика применения административной ответственности в системе предупреждения нарушений в финансово-бюджетной сфере:</w:t>
            </w:r>
          </w:p>
          <w:p w14:paraId="45A5BBDB" w14:textId="47E18E1B" w:rsidR="006021D5" w:rsidRPr="0009329A" w:rsidRDefault="006021D5" w:rsidP="0009329A">
            <w:pPr>
              <w:pStyle w:val="a5"/>
              <w:numPr>
                <w:ilvl w:val="0"/>
                <w:numId w:val="10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по части 1 статьи 7.29.3 КоАП </w:t>
            </w:r>
            <w:r w:rsidR="00156800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846A2A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за включение в план закупок или план-график закупок необоснованной закупки, либо начальной (максимальной) цены контракта; </w:t>
            </w:r>
          </w:p>
          <w:p w14:paraId="02249515" w14:textId="5C09EBE5" w:rsidR="006021D5" w:rsidRPr="0009329A" w:rsidRDefault="006021D5" w:rsidP="0009329A">
            <w:pPr>
              <w:pStyle w:val="a5"/>
              <w:numPr>
                <w:ilvl w:val="0"/>
                <w:numId w:val="10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по части 4 статьи 7.29.3 КоАП </w:t>
            </w:r>
            <w:r w:rsidR="00156800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846A2A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за нарушение срока утверждения плана закупок, плана-графика закупок в единой информационной системе в сфере закупок;</w:t>
            </w:r>
          </w:p>
          <w:p w14:paraId="5077F5E8" w14:textId="699B66E4" w:rsidR="006021D5" w:rsidRPr="0009329A" w:rsidRDefault="006021D5" w:rsidP="0009329A">
            <w:pPr>
              <w:pStyle w:val="a5"/>
              <w:numPr>
                <w:ilvl w:val="0"/>
                <w:numId w:val="10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по статье 15.14 КоАП </w:t>
            </w:r>
            <w:r w:rsidR="00156800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846A2A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за нецелевое использование бюджетных средств;</w:t>
            </w:r>
          </w:p>
          <w:p w14:paraId="2521B6BA" w14:textId="38FDEF6F" w:rsidR="006021D5" w:rsidRPr="0009329A" w:rsidRDefault="006021D5" w:rsidP="0009329A">
            <w:pPr>
              <w:pStyle w:val="a5"/>
              <w:numPr>
                <w:ilvl w:val="0"/>
                <w:numId w:val="10"/>
              </w:numPr>
              <w:spacing w:after="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по статье 15.15.6 КоАП </w:t>
            </w:r>
            <w:r w:rsidR="00156800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846A2A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за нарушение порядка представления бюджетной отчетности;</w:t>
            </w:r>
          </w:p>
          <w:p w14:paraId="196BC834" w14:textId="5FD6A67D" w:rsidR="006021D5" w:rsidRPr="0009329A" w:rsidRDefault="006021D5" w:rsidP="0009329A">
            <w:pPr>
              <w:pStyle w:val="a5"/>
              <w:numPr>
                <w:ilvl w:val="0"/>
                <w:numId w:val="10"/>
              </w:numPr>
              <w:spacing w:after="120"/>
              <w:ind w:left="284" w:firstLine="0"/>
              <w:rPr>
                <w:rFonts w:ascii="Trebuchet MS" w:hAnsi="Trebuchet MS" w:cs="Microsoft Sans Serif"/>
                <w:sz w:val="20"/>
                <w:szCs w:val="20"/>
              </w:rPr>
            </w:pPr>
            <w:r w:rsidRPr="0009329A">
              <w:rPr>
                <w:rFonts w:ascii="Trebuchet MS" w:hAnsi="Trebuchet MS" w:cs="Microsoft Sans Serif"/>
                <w:sz w:val="20"/>
                <w:szCs w:val="20"/>
              </w:rPr>
              <w:t xml:space="preserve">по статье 15.15.7 КоАП </w:t>
            </w:r>
            <w:r w:rsidR="00156800" w:rsidRPr="009810D8">
              <w:rPr>
                <w:rStyle w:val="af7"/>
                <w:rFonts w:ascii="Trebuchet MS" w:hAnsi="Trebuchet MS" w:cs="Microsoft Sans Serif"/>
                <w:sz w:val="20"/>
                <w:szCs w:val="20"/>
              </w:rPr>
              <w:t>—</w:t>
            </w:r>
            <w:r w:rsidR="00846A2A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Pr="0009329A">
              <w:rPr>
                <w:rFonts w:ascii="Trebuchet MS" w:hAnsi="Trebuchet MS" w:cs="Microsoft Sans Serif"/>
                <w:sz w:val="20"/>
                <w:szCs w:val="20"/>
              </w:rPr>
              <w:t>за нарушение порядка составления, утверждения и ведения бюджетных смет.</w:t>
            </w:r>
          </w:p>
          <w:p w14:paraId="284BB49B" w14:textId="35A3C686" w:rsidR="006B227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6.3.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Казначейское сопровождение государственных контрактов в 2024 году. Правовое регулирование казначейского сопровождения в части закрепления новых положений о механизме казначейского сопровождения государственных контрактов, порядка применения казначейского обеспечения обязательств, а также сроков проведения операций с казначейским обеспечением обязательств и правил проведения Федеральным казначейством бюджетного мониторинга в системе казначейских платежей по государственным контрактам, а также </w:t>
            </w:r>
            <w:r w:rsidR="006B2276" w:rsidRPr="00F42316">
              <w:rPr>
                <w:rFonts w:ascii="Trebuchet MS" w:hAnsi="Trebuchet MS" w:cs="Microsoft Sans Serif"/>
                <w:sz w:val="20"/>
                <w:szCs w:val="20"/>
              </w:rPr>
              <w:t>изменени</w:t>
            </w:r>
            <w:r w:rsidR="006B2276">
              <w:rPr>
                <w:rFonts w:ascii="Trebuchet MS" w:hAnsi="Trebuchet MS" w:cs="Microsoft Sans Serif"/>
                <w:sz w:val="20"/>
                <w:szCs w:val="20"/>
              </w:rPr>
              <w:t>й</w:t>
            </w:r>
            <w:r w:rsidR="006B2276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в бюджетном законодательстве, </w:t>
            </w:r>
            <w:r w:rsidR="000F454C" w:rsidRPr="00F42316">
              <w:rPr>
                <w:rFonts w:ascii="Trebuchet MS" w:hAnsi="Trebuchet MS" w:cs="Microsoft Sans Serif"/>
                <w:sz w:val="20"/>
                <w:szCs w:val="20"/>
              </w:rPr>
              <w:t>направленн</w:t>
            </w:r>
            <w:r w:rsidR="000F454C">
              <w:rPr>
                <w:rFonts w:ascii="Trebuchet MS" w:hAnsi="Trebuchet MS" w:cs="Microsoft Sans Serif"/>
                <w:sz w:val="20"/>
                <w:szCs w:val="20"/>
              </w:rPr>
              <w:t>ых</w:t>
            </w:r>
            <w:r w:rsidR="000F454C" w:rsidRPr="00F42316">
              <w:rPr>
                <w:rFonts w:ascii="Trebuchet MS" w:hAnsi="Trebuchet MS" w:cs="Microsoft Sans Serif"/>
                <w:sz w:val="20"/>
                <w:szCs w:val="20"/>
              </w:rPr>
              <w:t xml:space="preserve">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на упрощение расчётов за поставленные товары, в том числе строительные материалы, при казначейском сопровождении бюджетных средств в 2024 году.</w:t>
            </w:r>
          </w:p>
          <w:p w14:paraId="187E59E8" w14:textId="6703C43D" w:rsidR="006B227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lastRenderedPageBreak/>
              <w:t xml:space="preserve">6.4.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Особенности процедур проведения территориальными органами Федерального казначейства проверок факта поставки товара (выполнения работ, оказания услуг) в рамках расширенного казначейского сопровождения.</w:t>
            </w:r>
          </w:p>
          <w:p w14:paraId="56EC2312" w14:textId="168C55E5" w:rsidR="006021D5" w:rsidRPr="00F42316" w:rsidRDefault="0020454D" w:rsidP="0009329A">
            <w:pPr>
              <w:jc w:val="left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6.5. </w:t>
            </w:r>
            <w:r w:rsidR="006021D5" w:rsidRPr="00F42316">
              <w:rPr>
                <w:rFonts w:ascii="Trebuchet MS" w:hAnsi="Trebuchet MS" w:cs="Microsoft Sans Serif"/>
                <w:sz w:val="20"/>
                <w:szCs w:val="20"/>
              </w:rPr>
              <w:t>Рекомендации участникам казначейского сопровождения при осуществлении проверок территориальными органами Федерального казначейства в отношении средств, предоставленных на основании государственных контрактов. Обзор недостатков и нарушений, выявленных территориальными органами Федерального казначейства при проведении расширенного казначейского сопровождения.</w:t>
            </w:r>
          </w:p>
        </w:tc>
        <w:tc>
          <w:tcPr>
            <w:tcW w:w="1389" w:type="dxa"/>
            <w:vAlign w:val="center"/>
          </w:tcPr>
          <w:p w14:paraId="3C0A3B83" w14:textId="312B045D" w:rsidR="006021D5" w:rsidRPr="006C4B5B" w:rsidRDefault="006C4B5B" w:rsidP="0009329A">
            <w:pPr>
              <w:spacing w:after="0"/>
              <w:jc w:val="left"/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 w:cs="Microsoft Sans Serif"/>
                <w:b/>
                <w:sz w:val="20"/>
                <w:szCs w:val="20"/>
                <w:lang w:val="en-US" w:eastAsia="en-US"/>
              </w:rPr>
              <w:lastRenderedPageBreak/>
              <w:t xml:space="preserve">02 </w:t>
            </w:r>
            <w:r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марта</w:t>
            </w:r>
          </w:p>
          <w:p w14:paraId="6F99DF7D" w14:textId="77777777" w:rsidR="006021D5" w:rsidRPr="00F42316" w:rsidRDefault="006021D5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>2024 года</w:t>
            </w:r>
            <w:r w:rsidRPr="00F42316">
              <w:rPr>
                <w:rFonts w:ascii="Trebuchet MS" w:eastAsia="Calibri" w:hAnsi="Trebuchet MS" w:cs="Microsoft Sans Serif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Align w:val="center"/>
          </w:tcPr>
          <w:p w14:paraId="7D1FA283" w14:textId="77777777" w:rsidR="006021D5" w:rsidRPr="00F42316" w:rsidRDefault="006021D5" w:rsidP="0009329A">
            <w:pPr>
              <w:spacing w:after="0"/>
              <w:jc w:val="left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/>
                <w:sz w:val="20"/>
                <w:szCs w:val="20"/>
              </w:rPr>
              <w:t>12:00</w:t>
            </w:r>
          </w:p>
        </w:tc>
        <w:tc>
          <w:tcPr>
            <w:tcW w:w="1800" w:type="dxa"/>
            <w:vAlign w:val="center"/>
          </w:tcPr>
          <w:p w14:paraId="41AA6F34" w14:textId="77777777" w:rsidR="006021D5" w:rsidRPr="00F42316" w:rsidRDefault="006021D5" w:rsidP="0009329A">
            <w:pPr>
              <w:spacing w:after="0"/>
              <w:jc w:val="left"/>
              <w:rPr>
                <w:rFonts w:ascii="Trebuchet MS" w:hAnsi="Trebuchet MS" w:cs="Microsoft Sans Serif"/>
                <w:bCs/>
                <w:sz w:val="20"/>
                <w:szCs w:val="20"/>
              </w:rPr>
            </w:pPr>
            <w:r w:rsidRPr="00F42316">
              <w:rPr>
                <w:rFonts w:ascii="Trebuchet MS" w:hAnsi="Trebuchet MS" w:cs="Microsoft Sans Serif"/>
                <w:bCs/>
                <w:sz w:val="20"/>
                <w:szCs w:val="20"/>
              </w:rPr>
              <w:t>Андреев Сергей Андреевич,</w:t>
            </w:r>
          </w:p>
          <w:p w14:paraId="42790238" w14:textId="2E91F081" w:rsidR="006021D5" w:rsidRPr="00F42316" w:rsidRDefault="00846A2A" w:rsidP="0009329A">
            <w:pPr>
              <w:spacing w:after="0"/>
              <w:jc w:val="left"/>
              <w:rPr>
                <w:rFonts w:ascii="Trebuchet MS" w:hAnsi="Trebuchet MS" w:cs="Microsoft Sans Serif"/>
                <w:bCs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Cs/>
                <w:sz w:val="20"/>
                <w:szCs w:val="20"/>
              </w:rPr>
              <w:t>н</w:t>
            </w:r>
            <w:r w:rsidRPr="00F42316">
              <w:rPr>
                <w:rFonts w:ascii="Trebuchet MS" w:hAnsi="Trebuchet MS" w:cs="Microsoft Sans Serif"/>
                <w:bCs/>
                <w:sz w:val="20"/>
                <w:szCs w:val="20"/>
              </w:rPr>
              <w:t xml:space="preserve">ачальник </w:t>
            </w:r>
            <w:r w:rsidR="006021D5" w:rsidRPr="00F42316">
              <w:rPr>
                <w:rFonts w:ascii="Trebuchet MS" w:hAnsi="Trebuchet MS" w:cs="Microsoft Sans Serif"/>
                <w:bCs/>
                <w:sz w:val="20"/>
                <w:szCs w:val="20"/>
              </w:rPr>
              <w:t>Отдела координации в финансово-бюджетной сфере ФКУ «</w:t>
            </w:r>
            <w:proofErr w:type="spellStart"/>
            <w:r w:rsidR="006021D5" w:rsidRPr="00F42316">
              <w:rPr>
                <w:rFonts w:ascii="Trebuchet MS" w:hAnsi="Trebuchet MS" w:cs="Microsoft Sans Serif"/>
                <w:bCs/>
                <w:sz w:val="20"/>
                <w:szCs w:val="20"/>
              </w:rPr>
              <w:t>Ространсмодернизация</w:t>
            </w:r>
            <w:proofErr w:type="spellEnd"/>
            <w:r w:rsidR="006021D5" w:rsidRPr="00F42316">
              <w:rPr>
                <w:rFonts w:ascii="Trebuchet MS" w:hAnsi="Trebuchet MS" w:cs="Microsoft Sans Serif"/>
                <w:bCs/>
                <w:sz w:val="20"/>
                <w:szCs w:val="20"/>
              </w:rPr>
              <w:t xml:space="preserve">» при Минтрансе России, советник государственной гражданской службы Российской Федерации 1 класса </w:t>
            </w:r>
          </w:p>
        </w:tc>
      </w:tr>
    </w:tbl>
    <w:p w14:paraId="1FBB0665" w14:textId="77777777" w:rsidR="006021D5" w:rsidRPr="00F42316" w:rsidRDefault="006021D5" w:rsidP="006021D5">
      <w:pPr>
        <w:jc w:val="left"/>
        <w:rPr>
          <w:rFonts w:ascii="Trebuchet MS" w:hAnsi="Trebuchet MS" w:cs="Microsoft Sans Serif"/>
          <w:sz w:val="20"/>
          <w:szCs w:val="20"/>
        </w:rPr>
      </w:pPr>
    </w:p>
    <w:p w14:paraId="044C64F8" w14:textId="77777777" w:rsidR="006021D5" w:rsidRPr="00F42316" w:rsidRDefault="006021D5" w:rsidP="00345E55">
      <w:pPr>
        <w:spacing w:after="0"/>
        <w:jc w:val="left"/>
        <w:rPr>
          <w:rFonts w:ascii="Trebuchet MS" w:hAnsi="Trebuchet MS" w:cs="Microsoft Sans Serif"/>
          <w:b/>
          <w:lang w:eastAsia="ar-SA"/>
        </w:rPr>
      </w:pPr>
    </w:p>
    <w:sectPr w:rsidR="006021D5" w:rsidRPr="00F42316" w:rsidSect="002E6D59">
      <w:headerReference w:type="default" r:id="rId7"/>
      <w:headerReference w:type="first" r:id="rId8"/>
      <w:pgSz w:w="11906" w:h="16838" w:code="9"/>
      <w:pgMar w:top="828" w:right="566" w:bottom="709" w:left="170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C0E7" w14:textId="77777777" w:rsidR="008B4ED0" w:rsidRDefault="008B4ED0">
      <w:pPr>
        <w:spacing w:after="0"/>
      </w:pPr>
      <w:r>
        <w:separator/>
      </w:r>
    </w:p>
  </w:endnote>
  <w:endnote w:type="continuationSeparator" w:id="0">
    <w:p w14:paraId="7F8D8D4C" w14:textId="77777777" w:rsidR="008B4ED0" w:rsidRDefault="008B4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5A36" w14:textId="77777777" w:rsidR="008B4ED0" w:rsidRDefault="008B4ED0">
      <w:pPr>
        <w:spacing w:after="0"/>
      </w:pPr>
      <w:r>
        <w:separator/>
      </w:r>
    </w:p>
  </w:footnote>
  <w:footnote w:type="continuationSeparator" w:id="0">
    <w:p w14:paraId="2F99F3A2" w14:textId="77777777" w:rsidR="008B4ED0" w:rsidRDefault="008B4E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62AE" w14:textId="77777777" w:rsidR="00FD46B5" w:rsidRDefault="00E52207">
    <w:pPr>
      <w:pStyle w:val="a5"/>
      <w:jc w:val="center"/>
    </w:pPr>
    <w:r>
      <w:rPr>
        <w:noProof/>
      </w:rPr>
      <w:fldChar w:fldCharType="begin"/>
    </w:r>
    <w:r w:rsidR="00FD46B5">
      <w:rPr>
        <w:noProof/>
      </w:rPr>
      <w:instrText>PAGE   \* MERGEFORMAT</w:instrText>
    </w:r>
    <w:r>
      <w:rPr>
        <w:noProof/>
      </w:rPr>
      <w:fldChar w:fldCharType="separate"/>
    </w:r>
    <w:r w:rsidR="008337BE">
      <w:rPr>
        <w:noProof/>
      </w:rPr>
      <w:t>5</w:t>
    </w:r>
    <w:r>
      <w:rPr>
        <w:noProof/>
      </w:rPr>
      <w:fldChar w:fldCharType="end"/>
    </w:r>
  </w:p>
  <w:p w14:paraId="467A9D87" w14:textId="77777777" w:rsidR="00FD46B5" w:rsidRDefault="00FD46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2626" w14:textId="77777777" w:rsidR="00FD46B5" w:rsidRDefault="004A22EA">
    <w:pPr>
      <w:rPr>
        <w:sz w:val="20"/>
      </w:rPr>
    </w:pPr>
    <w:r>
      <w:rPr>
        <w:noProof/>
      </w:rPr>
      <w:drawing>
        <wp:inline distT="0" distB="0" distL="0" distR="0" wp14:anchorId="0E45C758" wp14:editId="25FD39C3">
          <wp:extent cx="2609850" cy="65246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996" cy="65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4614"/>
    <w:multiLevelType w:val="hybridMultilevel"/>
    <w:tmpl w:val="435C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5FCD"/>
    <w:multiLevelType w:val="hybridMultilevel"/>
    <w:tmpl w:val="7836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638C"/>
    <w:multiLevelType w:val="hybridMultilevel"/>
    <w:tmpl w:val="E88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47E9"/>
    <w:multiLevelType w:val="hybridMultilevel"/>
    <w:tmpl w:val="DFCC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5569"/>
    <w:multiLevelType w:val="hybridMultilevel"/>
    <w:tmpl w:val="CA6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61C3F"/>
    <w:multiLevelType w:val="hybridMultilevel"/>
    <w:tmpl w:val="81CAC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1959EF"/>
    <w:multiLevelType w:val="hybridMultilevel"/>
    <w:tmpl w:val="FCD0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D4116"/>
    <w:multiLevelType w:val="hybridMultilevel"/>
    <w:tmpl w:val="313EA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724D48"/>
    <w:multiLevelType w:val="hybridMultilevel"/>
    <w:tmpl w:val="3CE6CD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6C"/>
    <w:rsid w:val="00000251"/>
    <w:rsid w:val="00025B42"/>
    <w:rsid w:val="000278FE"/>
    <w:rsid w:val="000350B4"/>
    <w:rsid w:val="0009329A"/>
    <w:rsid w:val="000A0714"/>
    <w:rsid w:val="000A0C2F"/>
    <w:rsid w:val="000B610B"/>
    <w:rsid w:val="000C50A8"/>
    <w:rsid w:val="000F454C"/>
    <w:rsid w:val="0013082D"/>
    <w:rsid w:val="00156800"/>
    <w:rsid w:val="00187D99"/>
    <w:rsid w:val="00192625"/>
    <w:rsid w:val="001A0CF6"/>
    <w:rsid w:val="001B77F7"/>
    <w:rsid w:val="0020454D"/>
    <w:rsid w:val="002522F9"/>
    <w:rsid w:val="00266982"/>
    <w:rsid w:val="0028377A"/>
    <w:rsid w:val="002B095C"/>
    <w:rsid w:val="002B16CF"/>
    <w:rsid w:val="002B243B"/>
    <w:rsid w:val="002D00E3"/>
    <w:rsid w:val="002E6D59"/>
    <w:rsid w:val="0032692F"/>
    <w:rsid w:val="00334911"/>
    <w:rsid w:val="00345E55"/>
    <w:rsid w:val="00352AAF"/>
    <w:rsid w:val="0039542A"/>
    <w:rsid w:val="003C732C"/>
    <w:rsid w:val="003F5560"/>
    <w:rsid w:val="004146AB"/>
    <w:rsid w:val="00417205"/>
    <w:rsid w:val="00452E14"/>
    <w:rsid w:val="004A22EA"/>
    <w:rsid w:val="004B006C"/>
    <w:rsid w:val="004D53CD"/>
    <w:rsid w:val="004D7FB5"/>
    <w:rsid w:val="004E0C1D"/>
    <w:rsid w:val="004F6550"/>
    <w:rsid w:val="00502066"/>
    <w:rsid w:val="00506B6A"/>
    <w:rsid w:val="00532287"/>
    <w:rsid w:val="00557DA6"/>
    <w:rsid w:val="00574949"/>
    <w:rsid w:val="005C61A6"/>
    <w:rsid w:val="006021D5"/>
    <w:rsid w:val="00634564"/>
    <w:rsid w:val="006443AD"/>
    <w:rsid w:val="006504F6"/>
    <w:rsid w:val="00653B8E"/>
    <w:rsid w:val="00671777"/>
    <w:rsid w:val="00693881"/>
    <w:rsid w:val="006B2276"/>
    <w:rsid w:val="006C4B5B"/>
    <w:rsid w:val="006D451A"/>
    <w:rsid w:val="006D7232"/>
    <w:rsid w:val="007170D4"/>
    <w:rsid w:val="00751821"/>
    <w:rsid w:val="00764809"/>
    <w:rsid w:val="007A137A"/>
    <w:rsid w:val="008337BE"/>
    <w:rsid w:val="00846A2A"/>
    <w:rsid w:val="008B4564"/>
    <w:rsid w:val="008B4ED0"/>
    <w:rsid w:val="008B5D3D"/>
    <w:rsid w:val="0091226F"/>
    <w:rsid w:val="009272A9"/>
    <w:rsid w:val="00956D7E"/>
    <w:rsid w:val="0095795B"/>
    <w:rsid w:val="00977865"/>
    <w:rsid w:val="009A1C7C"/>
    <w:rsid w:val="009A508E"/>
    <w:rsid w:val="009B2B54"/>
    <w:rsid w:val="009E3A68"/>
    <w:rsid w:val="009E4EA6"/>
    <w:rsid w:val="00A24E20"/>
    <w:rsid w:val="00A44288"/>
    <w:rsid w:val="00A61313"/>
    <w:rsid w:val="00A767D8"/>
    <w:rsid w:val="00AA780A"/>
    <w:rsid w:val="00AC4C29"/>
    <w:rsid w:val="00AD6FE0"/>
    <w:rsid w:val="00AE4C01"/>
    <w:rsid w:val="00B12865"/>
    <w:rsid w:val="00B16AB1"/>
    <w:rsid w:val="00B552B2"/>
    <w:rsid w:val="00B67220"/>
    <w:rsid w:val="00B7265C"/>
    <w:rsid w:val="00B75A82"/>
    <w:rsid w:val="00B83B42"/>
    <w:rsid w:val="00C00FB5"/>
    <w:rsid w:val="00C16963"/>
    <w:rsid w:val="00CB39FF"/>
    <w:rsid w:val="00CD44A4"/>
    <w:rsid w:val="00CF75AC"/>
    <w:rsid w:val="00D52FC7"/>
    <w:rsid w:val="00D8761F"/>
    <w:rsid w:val="00DA25AD"/>
    <w:rsid w:val="00DD7587"/>
    <w:rsid w:val="00DF6D27"/>
    <w:rsid w:val="00E03C8C"/>
    <w:rsid w:val="00E52207"/>
    <w:rsid w:val="00E615D9"/>
    <w:rsid w:val="00E91E8F"/>
    <w:rsid w:val="00EA67E0"/>
    <w:rsid w:val="00EB5A7B"/>
    <w:rsid w:val="00ED4E04"/>
    <w:rsid w:val="00F0672B"/>
    <w:rsid w:val="00F360BF"/>
    <w:rsid w:val="00F42316"/>
    <w:rsid w:val="00F46069"/>
    <w:rsid w:val="00F739F3"/>
    <w:rsid w:val="00FD46B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A3E0"/>
  <w15:docId w15:val="{12F8621C-AC21-4E25-AEF3-F9A981C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550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C4C29"/>
    <w:pPr>
      <w:widowControl w:val="0"/>
      <w:autoSpaceDE w:val="0"/>
      <w:autoSpaceDN w:val="0"/>
      <w:spacing w:after="0"/>
      <w:ind w:left="382"/>
      <w:jc w:val="center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32C"/>
    <w:rPr>
      <w:rFonts w:ascii="Garamond" w:eastAsia="Times New Roman" w:hAnsi="Garamond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73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67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unhideWhenUsed/>
    <w:rsid w:val="00B67220"/>
    <w:pPr>
      <w:suppressAutoHyphens/>
      <w:ind w:left="283"/>
      <w:jc w:val="left"/>
    </w:pPr>
    <w:rPr>
      <w:rFonts w:ascii="Times New Roman" w:eastAsia="SimSun" w:hAnsi="Times New Roman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7220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2B095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7265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6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B5D3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B5D3D"/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C4C29"/>
    <w:rPr>
      <w:rFonts w:ascii="Times New Roman" w:eastAsia="Times New Roman" w:hAnsi="Times New Roman" w:cs="Times New Roman"/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C4C29"/>
  </w:style>
  <w:style w:type="character" w:customStyle="1" w:styleId="af">
    <w:name w:val="Основной текст Знак"/>
    <w:basedOn w:val="a0"/>
    <w:link w:val="ae"/>
    <w:uiPriority w:val="99"/>
    <w:semiHidden/>
    <w:rsid w:val="00AC4C29"/>
    <w:rPr>
      <w:rFonts w:ascii="Garamond" w:eastAsia="Times New Roman" w:hAnsi="Garamond" w:cs="Times New Roman"/>
      <w:sz w:val="24"/>
      <w:szCs w:val="24"/>
      <w:lang w:eastAsia="ru-RU"/>
    </w:rPr>
  </w:style>
  <w:style w:type="character" w:styleId="af0">
    <w:name w:val="Hyperlink"/>
    <w:rsid w:val="004F6550"/>
    <w:rPr>
      <w:color w:val="0563C1"/>
      <w:u w:val="single"/>
    </w:rPr>
  </w:style>
  <w:style w:type="table" w:styleId="af1">
    <w:name w:val="Table Grid"/>
    <w:basedOn w:val="a1"/>
    <w:uiPriority w:val="39"/>
    <w:rsid w:val="004F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B5A7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A7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A7B"/>
    <w:rPr>
      <w:rFonts w:ascii="Garamond" w:eastAsia="Times New Roman" w:hAnsi="Garamond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A7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A7B"/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AA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Вероника Александровна</dc:creator>
  <cp:lastModifiedBy>Yaroslava</cp:lastModifiedBy>
  <cp:revision>2</cp:revision>
  <cp:lastPrinted>2024-01-23T08:47:00Z</cp:lastPrinted>
  <dcterms:created xsi:type="dcterms:W3CDTF">2024-01-24T12:02:00Z</dcterms:created>
  <dcterms:modified xsi:type="dcterms:W3CDTF">2024-01-24T12:02:00Z</dcterms:modified>
</cp:coreProperties>
</file>